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 xml:space="preserve">figures for accounting periods of other than 12 months should be scaled pro rata to produce a </w:t>
            </w:r>
            <w:proofErr w:type="spellStart"/>
            <w:r w:rsidRPr="0097484D">
              <w:rPr>
                <w:rFonts w:ascii="Arial" w:eastAsia="Arial" w:hAnsi="Arial" w:cs="Arial"/>
                <w:color w:val="000000"/>
                <w:sz w:val="24"/>
                <w:szCs w:val="24"/>
              </w:rPr>
              <w:t>proforma</w:t>
            </w:r>
            <w:proofErr w:type="spellEnd"/>
            <w:r w:rsidRPr="0097484D">
              <w:rPr>
                <w:rFonts w:ascii="Arial" w:eastAsia="Arial" w:hAnsi="Arial" w:cs="Arial"/>
                <w:color w:val="000000"/>
                <w:sz w:val="24"/>
                <w:szCs w:val="24"/>
              </w:rPr>
              <w:t xml:space="preserve">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any change of Control of the Supplier or a Parent Undertaking of the Supplier;</w:t>
            </w:r>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sidRPr="0097484D">
              <w:rPr>
                <w:rFonts w:ascii="Arial" w:eastAsia="Arial" w:hAnsi="Arial" w:cs="Arial"/>
                <w:color w:val="000000"/>
                <w:sz w:val="24"/>
                <w:szCs w:val="24"/>
              </w:rPr>
              <w:lastRenderedPageBreak/>
              <w:t>composition, arrangement or agreement being made with creditors of any member of the Supplier Group;</w:t>
            </w:r>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 xml:space="preserve">using the Cabinet Office Contract </w:t>
            </w:r>
            <w:proofErr w:type="spellStart"/>
            <w:r w:rsidR="00786F40" w:rsidRPr="00553C19">
              <w:rPr>
                <w:rFonts w:ascii="Arial" w:eastAsia="Arial" w:hAnsi="Arial" w:cs="Arial"/>
                <w:color w:val="000000"/>
                <w:sz w:val="24"/>
                <w:szCs w:val="24"/>
              </w:rPr>
              <w:t>Tiering</w:t>
            </w:r>
            <w:proofErr w:type="spellEnd"/>
            <w:r w:rsidR="00786F40" w:rsidRPr="00553C19">
              <w:rPr>
                <w:rFonts w:ascii="Arial" w:eastAsia="Arial" w:hAnsi="Arial" w:cs="Arial"/>
                <w:color w:val="000000"/>
                <w:sz w:val="24"/>
                <w:szCs w:val="24"/>
              </w:rPr>
              <w:t xml:space="preserve">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 xml:space="preserve">means any Parent Undertaking which provides any of its Subsidiary Undertakings and/or Associates, whether directly or indirectly, with any financial, trading, </w:t>
            </w:r>
            <w:r w:rsidRPr="0097484D">
              <w:rPr>
                <w:rFonts w:ascii="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lastRenderedPageBreak/>
              <w:t>"Disaster"</w:t>
            </w:r>
          </w:p>
        </w:tc>
        <w:tc>
          <w:tcPr>
            <w:tcW w:w="5075" w:type="dxa"/>
          </w:tcPr>
          <w:p w14:paraId="0000000A"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bookmarkStart w:id="1" w:name="_heading=h.30j0zll" w:colFirst="0" w:colLast="0"/>
            <w:bookmarkEnd w:id="1"/>
            <w:r w:rsidRPr="0097484D">
              <w:rPr>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Deliverables"</w:t>
            </w:r>
          </w:p>
        </w:tc>
        <w:tc>
          <w:tcPr>
            <w:tcW w:w="5075" w:type="dxa"/>
          </w:tcPr>
          <w:p w14:paraId="0000000C" w14:textId="77777777" w:rsidR="0083014E" w:rsidRPr="00490B5D" w:rsidRDefault="0083014E" w:rsidP="0083014E">
            <w:pPr>
              <w:pBdr>
                <w:top w:val="nil"/>
                <w:left w:val="nil"/>
                <w:bottom w:val="nil"/>
                <w:right w:val="nil"/>
                <w:between w:val="nil"/>
              </w:pBdr>
              <w:tabs>
                <w:tab w:val="left" w:pos="-9"/>
                <w:tab w:val="left" w:pos="-179"/>
              </w:tabs>
              <w:spacing w:after="120"/>
              <w:ind w:left="0"/>
              <w:jc w:val="left"/>
              <w:rPr>
                <w:rFonts w:ascii="Arial" w:hAnsi="Arial"/>
                <w:color w:val="000000"/>
                <w:sz w:val="24"/>
              </w:rPr>
            </w:pPr>
            <w:r w:rsidRPr="0097484D">
              <w:rPr>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Plan"</w:t>
            </w:r>
          </w:p>
        </w:tc>
        <w:tc>
          <w:tcPr>
            <w:tcW w:w="5075" w:type="dxa"/>
          </w:tcPr>
          <w:p w14:paraId="0000000E"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System"</w:t>
            </w:r>
          </w:p>
        </w:tc>
        <w:tc>
          <w:tcPr>
            <w:tcW w:w="5075" w:type="dxa"/>
          </w:tcPr>
          <w:p w14:paraId="00000010" w14:textId="57E25881"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36533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"Related Supplier"</w:t>
            </w:r>
          </w:p>
        </w:tc>
        <w:tc>
          <w:tcPr>
            <w:tcW w:w="5075" w:type="dxa"/>
          </w:tcPr>
          <w:p w14:paraId="00000012"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576F50"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"Review Report"</w:t>
            </w:r>
          </w:p>
        </w:tc>
        <w:tc>
          <w:tcPr>
            <w:tcW w:w="5075" w:type="dxa"/>
          </w:tcPr>
          <w:p w14:paraId="00000014" w14:textId="0EAEE917" w:rsidR="0083014E" w:rsidRPr="00576F50"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7484D" w:rsidRDefault="00576F50" w:rsidP="0083014E">
            <w:pPr>
              <w:pBdr>
                <w:top w:val="nil"/>
                <w:left w:val="nil"/>
                <w:bottom w:val="nil"/>
                <w:right w:val="nil"/>
                <w:between w:val="nil"/>
              </w:pBdr>
              <w:spacing w:after="120"/>
              <w:ind w:left="-108"/>
              <w:jc w:val="left"/>
              <w:rPr>
                <w:b/>
                <w:color w:val="000000"/>
                <w:sz w:val="24"/>
              </w:rPr>
            </w:pPr>
            <w:r>
              <w:rPr>
                <w:b/>
                <w:color w:val="000000"/>
                <w:sz w:val="24"/>
              </w:rPr>
              <w:t>“Strategic Supplier”</w:t>
            </w:r>
          </w:p>
        </w:tc>
        <w:tc>
          <w:tcPr>
            <w:tcW w:w="5075" w:type="dxa"/>
          </w:tcPr>
          <w:p w14:paraId="38B5F293" w14:textId="77777777" w:rsidR="00576F50" w:rsidRDefault="00576F50" w:rsidP="00576F50">
            <w:pPr>
              <w:overflowPunct/>
              <w:ind w:left="0"/>
              <w:jc w:val="left"/>
              <w:textAlignment w:val="auto"/>
              <w:rPr>
                <w:rFonts w:eastAsia="Arial"/>
                <w:sz w:val="24"/>
                <w:szCs w:val="24"/>
              </w:rPr>
            </w:pPr>
            <w:r>
              <w:rPr>
                <w:rFonts w:eastAsia="Arial"/>
                <w:sz w:val="24"/>
                <w:szCs w:val="24"/>
              </w:rPr>
              <w:t>means those suppliers to government listed at</w:t>
            </w:r>
          </w:p>
          <w:p w14:paraId="5B4BAAC5" w14:textId="67F57BE1" w:rsidR="00576F50" w:rsidRPr="0097484D" w:rsidRDefault="00576F50" w:rsidP="00576F50">
            <w:pPr>
              <w:overflowPunct/>
              <w:ind w:left="0"/>
              <w:jc w:val="left"/>
              <w:textAlignment w:val="auto"/>
              <w:rPr>
                <w:color w:val="000000"/>
                <w:sz w:val="24"/>
              </w:rPr>
            </w:pPr>
            <w:r>
              <w:rPr>
                <w:rFonts w:eastAsia="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"Supplier's Proposals"</w:t>
            </w:r>
          </w:p>
        </w:tc>
        <w:tc>
          <w:tcPr>
            <w:tcW w:w="5075" w:type="dxa"/>
          </w:tcPr>
          <w:p w14:paraId="0000001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7"/>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2"/>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proofErr w:type="gramStart"/>
      <w:r w:rsidRPr="007578DD">
        <w:rPr>
          <w:color w:val="000000"/>
          <w:sz w:val="24"/>
          <w:szCs w:val="24"/>
        </w:rPr>
        <w:t>detail</w:t>
      </w:r>
      <w:proofErr w:type="gramEnd"/>
      <w:r w:rsidRPr="007578DD">
        <w:rPr>
          <w:color w:val="000000"/>
          <w:sz w:val="24"/>
          <w:szCs w:val="24"/>
        </w:rPr>
        <w:t xml:space="preserve">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3"/>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it</w:t>
      </w:r>
      <w:proofErr w:type="gramEnd"/>
      <w:r>
        <w:rPr>
          <w:color w:val="000000"/>
          <w:sz w:val="24"/>
          <w:szCs w:val="24"/>
        </w:rPr>
        <w:t xml:space="preserve">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the</w:t>
      </w:r>
      <w:proofErr w:type="gramEnd"/>
      <w:r>
        <w:rPr>
          <w:color w:val="000000"/>
          <w:sz w:val="24"/>
          <w:szCs w:val="24"/>
        </w:rPr>
        <w:t xml:space="preserv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set</w:t>
      </w:r>
      <w:proofErr w:type="gramEnd"/>
      <w:r>
        <w:rPr>
          <w:color w:val="000000"/>
          <w:sz w:val="24"/>
          <w:szCs w:val="24"/>
        </w:rPr>
        <w:t xml:space="preserve">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testing</w:t>
      </w:r>
      <w:proofErr w:type="gramEnd"/>
      <w:r>
        <w:rPr>
          <w:color w:val="000000"/>
          <w:sz w:val="24"/>
          <w:szCs w:val="24"/>
        </w:rPr>
        <w:t xml:space="preserve">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17"/>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proofErr w:type="gramStart"/>
      <w:r>
        <w:rPr>
          <w:rFonts w:eastAsia="Arial"/>
          <w:color w:val="000000"/>
          <w:sz w:val="24"/>
          <w:szCs w:val="24"/>
        </w:rPr>
        <w:t>sufficient</w:t>
      </w:r>
      <w:proofErr w:type="gramEnd"/>
      <w:r>
        <w:rPr>
          <w:rFonts w:eastAsia="Arial"/>
          <w:color w:val="000000"/>
          <w:sz w:val="24"/>
          <w:szCs w:val="24"/>
        </w:rPr>
        <w:t xml:space="preserve">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8" w:name="_heading=h.3rdcrjn" w:colFirst="0" w:colLast="0"/>
      <w:bookmarkEnd w:id="18"/>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26in1rg" w:colFirst="0" w:colLast="0"/>
      <w:bookmarkEnd w:id="19"/>
      <w:r>
        <w:rPr>
          <w:color w:val="000000"/>
          <w:sz w:val="24"/>
          <w:szCs w:val="24"/>
        </w:rPr>
        <w:t>on a regular basis and as a minimum once every six (6) Months;</w:t>
      </w:r>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lnxbz9" w:colFirst="0" w:colLast="0"/>
      <w:bookmarkEnd w:id="20"/>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35nkun2" w:colFirst="0" w:colLast="0"/>
      <w:bookmarkEnd w:id="21"/>
      <w:proofErr w:type="gramStart"/>
      <w:r>
        <w:rPr>
          <w:color w:val="000000"/>
          <w:sz w:val="24"/>
          <w:szCs w:val="24"/>
        </w:rPr>
        <w:t>where</w:t>
      </w:r>
      <w:proofErr w:type="gramEnd"/>
      <w:r>
        <w:rPr>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2" w:name="_heading=h.1ksv4uv" w:colFirst="0" w:colLast="0"/>
      <w:bookmarkEnd w:id="22"/>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44sinio" w:colFirst="0" w:colLast="0"/>
      <w:bookmarkEnd w:id="23"/>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2jxsxqh" w:colFirst="0" w:colLast="0"/>
      <w:bookmarkEnd w:id="24"/>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5" w:name="_heading=h.z337ya" w:colFirst="0" w:colLast="0"/>
      <w:bookmarkEnd w:id="25"/>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6" w:name="_heading=h.3j2qqm3" w:colFirst="0" w:colLast="0"/>
      <w:bookmarkEnd w:id="26"/>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at</w:t>
      </w:r>
      <w:proofErr w:type="gramEnd"/>
      <w:r>
        <w:rPr>
          <w:color w:val="000000"/>
          <w:sz w:val="24"/>
          <w:szCs w:val="24"/>
        </w:rPr>
        <w:t xml:space="preserve">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the</w:t>
      </w:r>
      <w:proofErr w:type="gramEnd"/>
      <w:r>
        <w:rPr>
          <w:color w:val="000000"/>
          <w:sz w:val="24"/>
          <w:szCs w:val="24"/>
        </w:rPr>
        <w:t xml:space="preserv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8" w:name="_heading=h.4i7ojhp" w:colFirst="0" w:colLast="0"/>
      <w:bookmarkEnd w:id="28"/>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heading=h.2xcytpi" w:colFirst="0" w:colLast="0"/>
      <w:bookmarkStart w:id="30" w:name="_Ref69116349"/>
      <w:bookmarkEnd w:id="29"/>
      <w:r>
        <w:rPr>
          <w:rFonts w:ascii="Arial Bold" w:eastAsia="Arial Bold" w:hAnsi="Arial Bold" w:cs="Arial Bold"/>
          <w:b/>
          <w:color w:val="000000"/>
          <w:sz w:val="24"/>
          <w:szCs w:val="24"/>
        </w:rPr>
        <w:t>Invoking the BCDR Plan</w:t>
      </w:r>
      <w:bookmarkEnd w:id="30"/>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sidRPr="007578DD">
        <w:rPr>
          <w:color w:val="000000"/>
          <w:sz w:val="24"/>
          <w:szCs w:val="24"/>
        </w:rPr>
        <w:t>where</w:t>
      </w:r>
      <w:proofErr w:type="gramEnd"/>
      <w:r w:rsidRPr="007578DD">
        <w:rPr>
          <w:color w:val="000000"/>
          <w:sz w:val="24"/>
          <w:szCs w:val="24"/>
        </w:rPr>
        <w:t xml:space="preserve"> there is an Insolvency Event of the Supplier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w:t>
      </w:r>
      <w:proofErr w:type="spellStart"/>
      <w:r>
        <w:rPr>
          <w:color w:val="000000"/>
          <w:sz w:val="24"/>
          <w:szCs w:val="24"/>
        </w:rPr>
        <w:t>disapplied</w:t>
      </w:r>
      <w:proofErr w:type="spellEnd"/>
      <w:r>
        <w:rPr>
          <w:color w:val="000000"/>
          <w:sz w:val="24"/>
          <w:szCs w:val="24"/>
        </w:rPr>
        <w:t xml:space="preserve">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bookmarkStart w:id="32" w:name="_GoBack"/>
      <w:bookmarkEnd w:id="32"/>
      <w:r>
        <w:rPr>
          <w:rFonts w:eastAsia="Arial"/>
          <w:color w:val="000000"/>
          <w:sz w:val="24"/>
          <w:szCs w:val="24"/>
          <w:highlight w:val="yellow"/>
        </w:rPr>
        <w:t>[insert ‘is’ or ‘is not’</w:t>
      </w:r>
      <w:r>
        <w:rPr>
          <w:rFonts w:eastAsia="Arial"/>
          <w:color w:val="000000"/>
          <w:sz w:val="24"/>
          <w:szCs w:val="24"/>
        </w:rPr>
        <w:t>]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except</w:t>
      </w:r>
      <w:proofErr w:type="gramEnd"/>
      <w:r>
        <w:rPr>
          <w:sz w:val="24"/>
          <w:szCs w:val="24"/>
        </w:rPr>
        <w:t xml:space="preserve">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complies</w:t>
      </w:r>
      <w:proofErr w:type="gramEnd"/>
      <w:r>
        <w:rPr>
          <w:sz w:val="24"/>
          <w:szCs w:val="24"/>
        </w:rPr>
        <w:t xml:space="preserve">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the</w:t>
      </w:r>
      <w:proofErr w:type="gramEnd"/>
      <w:r>
        <w:rPr>
          <w:sz w:val="24"/>
          <w:szCs w:val="24"/>
        </w:rPr>
        <w:t xml:space="preserv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proofErr w:type="gramStart"/>
      <w:r>
        <w:rPr>
          <w:sz w:val="24"/>
          <w:szCs w:val="24"/>
        </w:rPr>
        <w:t>no</w:t>
      </w:r>
      <w:proofErr w:type="gramEnd"/>
      <w:r>
        <w:rPr>
          <w:sz w:val="24"/>
          <w:szCs w:val="24"/>
        </w:rPr>
        <w:t xml:space="preserve">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r w:rsidR="005906E1">
        <w:rPr>
          <w:sz w:val="24"/>
          <w:szCs w:val="24"/>
        </w:rPr>
        <w:t>2</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proofErr w:type="gramStart"/>
      <w:r>
        <w:rPr>
          <w:rFonts w:eastAsia="Arial"/>
          <w:color w:val="000000"/>
          <w:sz w:val="24"/>
          <w:szCs w:val="24"/>
        </w:rPr>
        <w:t>unless</w:t>
      </w:r>
      <w:proofErr w:type="gramEnd"/>
      <w:r>
        <w:rPr>
          <w:rFonts w:eastAsia="Arial"/>
          <w:color w:val="000000"/>
          <w:sz w:val="24"/>
          <w:szCs w:val="24"/>
        </w:rPr>
        <w:t xml:space="preserve">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36533E"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97484D">
      <w:pPr>
        <w:pBdr>
          <w:top w:val="nil"/>
          <w:left w:val="nil"/>
          <w:bottom w:val="nil"/>
          <w:right w:val="nil"/>
          <w:between w:val="nil"/>
        </w:pBdr>
        <w:spacing w:before="120" w:after="120"/>
        <w:ind w:left="720" w:hanging="720"/>
        <w:rPr>
          <w:rFonts w:eastAsia="Arial"/>
          <w:color w:val="000000"/>
          <w:sz w:val="24"/>
          <w:szCs w:val="24"/>
        </w:rPr>
      </w:pPr>
      <w:proofErr w:type="gramStart"/>
      <w:r>
        <w:rPr>
          <w:rFonts w:eastAsia="Arial"/>
          <w:color w:val="000000"/>
          <w:sz w:val="24"/>
          <w:szCs w:val="24"/>
        </w:rPr>
        <w:t>which</w:t>
      </w:r>
      <w:proofErr w:type="gramEnd"/>
      <w:r>
        <w:rPr>
          <w:rFonts w:eastAsia="Arial"/>
          <w:color w:val="000000"/>
          <w:sz w:val="24"/>
          <w:szCs w:val="24"/>
        </w:rPr>
        <w:t xml:space="preserve">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97484D">
      <w:pPr>
        <w:ind w:left="0"/>
        <w:rPr>
          <w:b/>
          <w:sz w:val="32"/>
          <w:szCs w:val="32"/>
        </w:rPr>
      </w:pPr>
      <w:r>
        <w:rPr>
          <w:b/>
          <w:sz w:val="32"/>
          <w:szCs w:val="32"/>
        </w:rPr>
        <w:lastRenderedPageBreak/>
        <w:t>Appendix 1: Group structure information and resolution commentary</w:t>
      </w:r>
    </w:p>
    <w:p w14:paraId="4585B894" w14:textId="77777777" w:rsidR="0097484D" w:rsidRDefault="0097484D" w:rsidP="0097484D">
      <w:pPr>
        <w:numPr>
          <w:ilvl w:val="0"/>
          <w:numId w:val="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3606EA2C" w14:textId="4263C93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full details of the importance of each member of the Supplier Group to the Supplier Group’s UK Public Sector Business and CNI contracts listed pursuant to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36533E"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t xml:space="preserve">     </w:t>
          </w:r>
        </w:sdtContent>
      </w:sdt>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8F648" w14:textId="77777777" w:rsidR="0036533E" w:rsidRDefault="0036533E">
      <w:pPr>
        <w:spacing w:after="0"/>
      </w:pPr>
      <w:r>
        <w:separator/>
      </w:r>
    </w:p>
  </w:endnote>
  <w:endnote w:type="continuationSeparator" w:id="0">
    <w:p w14:paraId="39B519AC" w14:textId="77777777" w:rsidR="0036533E" w:rsidRDefault="0036533E">
      <w:pPr>
        <w:spacing w:after="0"/>
      </w:pPr>
      <w:r>
        <w:continuationSeparator/>
      </w:r>
    </w:p>
  </w:endnote>
  <w:endnote w:type="continuationNotice" w:id="1">
    <w:p w14:paraId="599EAFD4" w14:textId="77777777" w:rsidR="0036533E" w:rsidRDefault="00365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5" w14:textId="77777777" w:rsidR="004E7615" w:rsidRDefault="004E7615">
    <w:pPr>
      <w:tabs>
        <w:tab w:val="center" w:pos="4513"/>
        <w:tab w:val="right" w:pos="9026"/>
      </w:tabs>
      <w:spacing w:after="0"/>
      <w:ind w:left="0"/>
      <w:rPr>
        <w:rFonts w:ascii="Calibri" w:eastAsia="Calibri" w:hAnsi="Calibri" w:cs="Calibri"/>
        <w:color w:val="A6A6A6"/>
      </w:rPr>
    </w:pPr>
  </w:p>
  <w:p w14:paraId="00000106" w14:textId="4357B7FF"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sidR="001D7197">
      <w:rPr>
        <w:rFonts w:eastAsia="Arial"/>
        <w:color w:val="000000"/>
        <w:sz w:val="20"/>
        <w:szCs w:val="20"/>
      </w:rPr>
      <w:t>RM</w:t>
    </w:r>
    <w:r w:rsidR="005C1630">
      <w:rPr>
        <w:rFonts w:eastAsia="Arial"/>
        <w:color w:val="000000"/>
        <w:sz w:val="20"/>
        <w:szCs w:val="20"/>
      </w:rPr>
      <w:t>6268 Vehicle Lease, Fleet Management and Salary Sacrifice</w:t>
    </w:r>
  </w:p>
  <w:p w14:paraId="00000107" w14:textId="58E44B9E"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C1630">
      <w:rPr>
        <w:noProof/>
        <w:color w:val="000000"/>
        <w:sz w:val="20"/>
        <w:szCs w:val="20"/>
      </w:rPr>
      <w:t>20</w:t>
    </w:r>
    <w:r>
      <w:rPr>
        <w:color w:val="000000"/>
        <w:sz w:val="20"/>
        <w:szCs w:val="20"/>
      </w:rPr>
      <w:fldChar w:fldCharType="end"/>
    </w:r>
  </w:p>
  <w:p w14:paraId="00000108" w14:textId="52A4EF19" w:rsidR="004E7615" w:rsidRDefault="004E7615"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9C0E" w14:textId="77777777" w:rsidR="0036533E" w:rsidRDefault="0036533E">
      <w:pPr>
        <w:spacing w:after="0"/>
      </w:pPr>
      <w:r>
        <w:separator/>
      </w:r>
    </w:p>
  </w:footnote>
  <w:footnote w:type="continuationSeparator" w:id="0">
    <w:p w14:paraId="33F480A1" w14:textId="77777777" w:rsidR="0036533E" w:rsidRDefault="0036533E">
      <w:pPr>
        <w:spacing w:after="0"/>
      </w:pPr>
      <w:r>
        <w:continuationSeparator/>
      </w:r>
    </w:p>
  </w:footnote>
  <w:footnote w:type="continuationNotice" w:id="1">
    <w:p w14:paraId="3FD81450" w14:textId="77777777" w:rsidR="0036533E" w:rsidRDefault="00365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4E7615" w:rsidRDefault="004E7615">
    <w:pPr>
      <w:tabs>
        <w:tab w:val="center" w:pos="4513"/>
        <w:tab w:val="right" w:pos="9026"/>
      </w:tabs>
      <w:spacing w:after="0"/>
      <w:ind w:left="0"/>
      <w:jc w:val="left"/>
      <w:rPr>
        <w:sz w:val="20"/>
        <w:szCs w:val="20"/>
      </w:rPr>
    </w:pPr>
    <w:r>
      <w:rPr>
        <w:sz w:val="20"/>
        <w:szCs w:val="20"/>
      </w:rPr>
      <w:t>Call-Off Ref:</w:t>
    </w:r>
  </w:p>
  <w:p w14:paraId="00000103" w14:textId="22D92EC0" w:rsidR="004E7615" w:rsidRDefault="004E7615">
    <w:pPr>
      <w:tabs>
        <w:tab w:val="center" w:pos="4513"/>
        <w:tab w:val="right" w:pos="9026"/>
      </w:tabs>
      <w:spacing w:after="0"/>
      <w:ind w:left="0"/>
      <w:jc w:val="left"/>
      <w:rPr>
        <w:sz w:val="20"/>
        <w:szCs w:val="20"/>
      </w:rPr>
    </w:pPr>
    <w:r>
      <w:rPr>
        <w:sz w:val="20"/>
        <w:szCs w:val="20"/>
      </w:rPr>
      <w:t>Crown Copyright 2021</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4"/>
  </w:num>
  <w:num w:numId="2">
    <w:abstractNumId w:val="5"/>
  </w:num>
  <w:num w:numId="3">
    <w:abstractNumId w:val="2"/>
  </w:num>
  <w:num w:numId="4">
    <w:abstractNumId w:val="0"/>
  </w:num>
  <w:num w:numId="5">
    <w:abstractNumId w:val="10"/>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0E0"/>
    <w:rsid w:val="000142AF"/>
    <w:rsid w:val="00057D6C"/>
    <w:rsid w:val="00063994"/>
    <w:rsid w:val="000F6A61"/>
    <w:rsid w:val="001102FE"/>
    <w:rsid w:val="001D7197"/>
    <w:rsid w:val="001F583B"/>
    <w:rsid w:val="00250F51"/>
    <w:rsid w:val="00271812"/>
    <w:rsid w:val="0029177F"/>
    <w:rsid w:val="002E2CB9"/>
    <w:rsid w:val="0036477C"/>
    <w:rsid w:val="0036533E"/>
    <w:rsid w:val="003E7212"/>
    <w:rsid w:val="003F2EAC"/>
    <w:rsid w:val="0042685C"/>
    <w:rsid w:val="004743E1"/>
    <w:rsid w:val="00490B5D"/>
    <w:rsid w:val="004A6B2C"/>
    <w:rsid w:val="004D233C"/>
    <w:rsid w:val="004E7615"/>
    <w:rsid w:val="0052154C"/>
    <w:rsid w:val="00576F50"/>
    <w:rsid w:val="0058742B"/>
    <w:rsid w:val="005906E1"/>
    <w:rsid w:val="005C1630"/>
    <w:rsid w:val="00612231"/>
    <w:rsid w:val="00616460"/>
    <w:rsid w:val="00634BA0"/>
    <w:rsid w:val="006611AD"/>
    <w:rsid w:val="00672A2E"/>
    <w:rsid w:val="00681293"/>
    <w:rsid w:val="00696ED2"/>
    <w:rsid w:val="007261A6"/>
    <w:rsid w:val="007578DD"/>
    <w:rsid w:val="00786F40"/>
    <w:rsid w:val="0083014E"/>
    <w:rsid w:val="00833222"/>
    <w:rsid w:val="0085360A"/>
    <w:rsid w:val="008665B2"/>
    <w:rsid w:val="00867708"/>
    <w:rsid w:val="00880A26"/>
    <w:rsid w:val="008E733F"/>
    <w:rsid w:val="008F07D5"/>
    <w:rsid w:val="0097484D"/>
    <w:rsid w:val="00A12864"/>
    <w:rsid w:val="00A203BD"/>
    <w:rsid w:val="00B15219"/>
    <w:rsid w:val="00B97807"/>
    <w:rsid w:val="00BB4326"/>
    <w:rsid w:val="00BB5D3B"/>
    <w:rsid w:val="00CD1511"/>
    <w:rsid w:val="00D15E2A"/>
    <w:rsid w:val="00D73872"/>
    <w:rsid w:val="00E71CD8"/>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73BC58-FE7F-46EF-A294-3B257E9E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5729</Words>
  <Characters>32659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Janine Cato</cp:lastModifiedBy>
  <cp:revision>2</cp:revision>
  <dcterms:created xsi:type="dcterms:W3CDTF">2022-07-06T14:38:00Z</dcterms:created>
  <dcterms:modified xsi:type="dcterms:W3CDTF">2022-07-06T14:38:00Z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